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3.png" ContentType="image/png"/>
  <Override PartName="/word/media/rId120.png" ContentType="image/png"/>
  <Override PartName="/word/media/rId124.png" ContentType="image/png"/>
  <Override PartName="/word/media/rId128.png" ContentType="image/png"/>
  <Override PartName="/word/media/rId138.png" ContentType="image/png"/>
  <Override PartName="/word/media/rId1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Paul Kluetz</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4,509 words / 8,000 words</w:t>
      </w:r>
    </w:p>
    <w:p>
      <w:pPr>
        <w:pStyle w:val="BodyText"/>
      </w:pPr>
      <w:r>
        <w:rPr>
          <w:b/>
          <w:bCs/>
          <w:u w:val="single"/>
        </w:rPr>
        <w:t xml:space="preserve">Abstract word count:</w:t>
      </w:r>
      <w:r>
        <w:t xml:space="preserve"> </w:t>
      </w:r>
      <w:r>
        <w:t xml:space="preserve">224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2025-05-28 17:09:58.56629</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Advancements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enhanced understanding of when RWE can most appropriately draw causal conclusions by emulating trials in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validity of oncological RWE studies.</w:t>
      </w:r>
    </w:p>
    <w:p>
      <w:r>
        <w:br w:type="page"/>
      </w:r>
    </w:p>
    <w:bookmarkEnd w:id="23"/>
    <w:bookmarkStart w:id="24" w:name="background"/>
    <w:p>
      <w:pPr>
        <w:pStyle w:val="Heading1"/>
      </w:pPr>
      <w:r>
        <w:t xml:space="preserve">Background</w:t>
      </w:r>
    </w:p>
    <w:p>
      <w:pPr>
        <w:pStyle w:val="FirstParagraph"/>
      </w:pPr>
      <w:r>
        <w:t xml:space="preserve">Randomized controlled trials (RCTs) are the go-to methodology for establishing the efficacy and safety of medical products. Directed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 of real-world evidence (RWE) generated from routine-care health data such as electronic health records (EHR) to evaluate and contextualize the safety and effectiveness of novel cancer therapies.</w:t>
      </w:r>
      <w:r>
        <w:rPr>
          <w:vertAlign w:val="superscript"/>
        </w:rPr>
        <w:t xml:space="preserve">2</w:t>
      </w:r>
      <w:r>
        <w:t xml:space="preserve"> </w:t>
      </w:r>
      <w:r>
        <w:t xml:space="preserve">Accounting for 30% of new drug approvals, oncology was the disease area with the most FDA drug approvals in 2024</w:t>
      </w:r>
      <w:r>
        <w:rPr>
          <w:vertAlign w:val="superscript"/>
        </w:rPr>
        <w:t xml:space="preserve">3</w:t>
      </w:r>
      <w:r>
        <w:t xml:space="preserve"> </w:t>
      </w:r>
      <w:r>
        <w:t xml:space="preserve">and has many areas of high unmet medical need to treat serious conditions. Therefore, RWE has particularly important potential to complement evidence from RCTs in the field of oncology. Potential use cases include the assessment of effectiveness in specific patient populations that are underrepresented in RCTs, the construction of external control arms in single-arm trials that have feasibility or equipoise challenges, or the precision oncology-focused discovery of biomarkers among pan-tumor populations that harbor specific genomic and immuno-pathological signatures.</w:t>
      </w:r>
    </w:p>
    <w:p>
      <w:pPr>
        <w:pStyle w:val="BodyText"/>
      </w:pPr>
      <w:r>
        <w:t xml:space="preserve">However, the validity and transportability of results derived between RWE studies and RCTs depends on multiple factors. Frequently referenced limitations include lack of baseline randomization, missing data, unmeasured confounding, small study sizes, data discontinuity,</w:t>
      </w:r>
      <w:r>
        <w:rPr>
          <w:vertAlign w:val="superscript"/>
        </w:rPr>
        <w:t xml:space="preserve">4, 5</w:t>
      </w:r>
      <w:r>
        <w:t xml:space="preserve"> </w:t>
      </w:r>
      <w:r>
        <w:t xml:space="preserve">adoption of changes in guidelines in real-world care and the inability to measure and emulate common eligibility criteria, including prognostic factors, and standardized response assessments in real-world data (RWD).</w:t>
      </w:r>
      <w:r>
        <w:rPr>
          <w:vertAlign w:val="superscript"/>
        </w:rPr>
        <w:t xml:space="preserve">6</w:t>
      </w:r>
      <w:r>
        <w:t xml:space="preserve"> </w:t>
      </w:r>
      <w:r>
        <w:t xml:space="preserve">While examples of oncology trial emulations have been published,</w:t>
      </w:r>
      <w:r>
        <w:rPr>
          <w:vertAlign w:val="superscript"/>
        </w:rPr>
        <w:t xml:space="preserve">6–8</w:t>
      </w:r>
      <w:r>
        <w:t xml:space="preserve"> </w:t>
      </w:r>
      <w:r>
        <w:t xml:space="preserve">a systematic and scaled approach to emulate a diverse set of oncology trials with multiple heterogeneous databases is necessary to gain confidence in the validity of RWE studies, evaluate regulatory considerations,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were able to reach similar conclusions.</w:t>
      </w:r>
      <w:r>
        <w:rPr>
          <w:vertAlign w:val="superscript"/>
        </w:rPr>
        <w:t xml:space="preserve">10</w:t>
      </w:r>
      <w:r>
        <w:t xml:space="preserve"> </w:t>
      </w:r>
      <w:r>
        <w:t xml:space="preserve">However, this prior work from RCT-DUPLICATE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11</w:t>
      </w:r>
      <w:r>
        <w:t xml:space="preserve"> </w:t>
      </w:r>
      <w:r>
        <w:t xml:space="preserve">aims to extend this work to oncology. Studies in oncology come with their own unique set of methodological challenges which must be systematically explored and understood. Building on a process co-developed with the FDA through RCT DUPLICATE,</w:t>
      </w:r>
      <w:r>
        <w:rPr>
          <w:vertAlign w:val="superscript"/>
        </w:rPr>
        <w:t xml:space="preserve">9</w:t>
      </w:r>
      <w:r>
        <w:t xml:space="preserve"> </w:t>
      </w:r>
      <w:r>
        <w:t xml:space="preserve">this expansion to oncology will emulate 12 randomized clinical trials using multiple specialty oncology EHR data sources. The process will emphasize transparency and include documented data fit-for-purpose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into the potential use of RWE to enhance regulatory science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efficiently explore in what contexts RWE studies can or cannot yield similar results compared to RCTs. Therefore, the project emphasizes trials 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for each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efficacy</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for each criterion is listed in detail in</w:t>
      </w:r>
      <w:r>
        <w:t xml:space="preserve"> </w:t>
      </w:r>
      <w:hyperlink w:anchor="tbl-criteria">
        <w:r>
          <w:rPr>
            <w:rStyle w:val="Hyperlink"/>
          </w:rPr>
          <w:t xml:space="preserve">Table 1</w:t>
        </w:r>
      </w:hyperlink>
      <w:r>
        <w:t xml:space="preserve">. We will mainly consider pivotal large late-phase interventional RCTs after 2011 because treatment guidelines among included cancer indications have undergone significant changes in recent years. Due to the rapid adoption of breakthrough therapies in routine care, few patients currently initiate outdated treatment regimens in current clinical practice. Conversely, we excluded trials with results published too recently to allow for enough data and follow-up time accrual in the real-world databases used for this project. We did not define a global cut-off as the requirements for follow-up time are different for each cancer type and population (e.g., advanced NSCLC versus early-stage breast cancer) and the decisions were made on a case-by-case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is not well reflected in chart-abstracted assessments of a patient’s progression in routine care.</w:t>
      </w:r>
      <w:r>
        <w:rPr>
          <w:vertAlign w:val="superscript"/>
        </w:rPr>
        <w:t xml:space="preserve">18, 19</w:t>
      </w:r>
      <w:r>
        <w:t xml:space="preserve"> </w:t>
      </w:r>
      <w:r>
        <w:t xml:space="preserve">The timing and cadence of intervals between progression assessments can differ between RCTs and routine care which may result in measurement error and bias.</w:t>
      </w:r>
      <w:r>
        <w:rPr>
          <w:vertAlign w:val="superscript"/>
        </w:rPr>
        <w:t xml:space="preserve">20</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19</w:t>
      </w:r>
      <w:r>
        <w:t xml:space="preserve"> </w:t>
      </w:r>
      <w:r>
        <w:t xml:space="preserve">involving an assessment of whether critical eligibility criteria (e.g., biomarker status) including prognostic factors (e.g., ECOG performance score) are measurable, and whether preliminary study size based on a rough estimation of the number of patients observed in the data with the combination of treatment regimen and line of treatment is reasonable for shortlisting the trial.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Naturally, the majority of shortlisted trials cover advanced (locally advanced, inoperable, recurrent/progressive disease) or metastatic cancer populations because a large proportion of drug development efforts have recently focused on these settings. A key objective that we aim to explore with the selected trials is to achieve a better understanding how different disease settings (early, late), line settings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oncology-specific electronic health records (EHR)-derived RWD data sources (in alphabetical order): ConcertAI, COTA, Flatiron Health, and Ontada/McKesson. The included databases comprise the necessary information to study medical product effectiveness in oncology derived from US-based oncology EHRs. A detailed description and sampling methodology will be provided with each trial emulation protocol. For ENCORE, not all databases will be available for each cancer indication and the names of the databases will be blinded and referred to as ENCORE DataBase (EDB) 1, 2, 3 and 4 for the final reporting of results (the numbering does not coincide with the above order of mention of the databases). If more than one database is considered fit-for-purpose for a respective trial emulation, the best possible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21</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22</w:t>
      </w:r>
      <w:r>
        <w:t xml:space="preserve"> </w:t>
      </w:r>
      <w:r>
        <w:t xml:space="preserve">recommended for regulatory submissions of RWE studies</w:t>
      </w:r>
      <w:r>
        <w:rPr>
          <w:vertAlign w:val="superscript"/>
        </w:rPr>
        <w:t xml:space="preserve">23</w:t>
      </w:r>
      <w:r>
        <w:t xml:space="preserve"> </w:t>
      </w:r>
      <w:r>
        <w:t xml:space="preserve">and will be registered on ClinicalTrials.gov after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24, 25</w:t>
      </w:r>
      <w:r>
        <w:t xml:space="preserve"> </w:t>
      </w:r>
      <w:r>
        <w:t xml:space="preserve">Since it is common that oncology RCTs update OS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One important aspect when emulating oncology trials is the choice and estimation of the appropriate estimand of interest.</w:t>
      </w:r>
      <w:r>
        <w:rPr>
          <w:vertAlign w:val="superscript"/>
        </w:rPr>
        <w:t xml:space="preserve">26</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crossover.</w:t>
      </w:r>
      <w:r>
        <w:rPr>
          <w:vertAlign w:val="superscript"/>
        </w:rPr>
        <w:t xml:space="preserve">27</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estimand differences.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direction from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 line of therapy, outcomes, and covariates are generally available, measured and operationalizable in routine-care. Since many oncological RCTs in recent years have focused on selected, biomarker-defined populations, nuances in measurement and operationalizability of specific biomarkers must be reflected to ensure a representative and large enough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as a percent staining, tumor proportion score or combined positive score) has evolved, and as such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outlines how eligibility criteria will be ascertained using a color-coded heatmap that will indicate the level of confidence on how well each criterion can be emulated in each selected database. As there are general eligibility criteria in oncology clinical trials which either are infeasible to emulate (e.g., physician-assessed survival prognosis of x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OS outcome are emulated. For all considered databases, OS is typically a composite measure that, depending on the underlying database, can be derived from different mortality sources (i.e., EHR documentation,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28</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paradigm-changing treatments, multiple aspects need to be considered, such as the contemporaneity of the control cohort, the adoption rate of the novel medical product in routine care, the magnitude of the clinical treatment benefit and the rate in which patients discontinue or cross-over, which could dilute effect estimates.</w:t>
      </w:r>
    </w:p>
    <w:p>
      <w:pPr>
        <w:pStyle w:val="BodyText"/>
      </w:pPr>
      <w:r>
        <w:t xml:space="preserve">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The distribution of patient characteristics, by exposure status, will be examined using Table 1’s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observational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and cannot be influenced.</w:t>
      </w:r>
      <w:r>
        <w:rPr>
          <w:vertAlign w:val="superscript"/>
        </w:rPr>
        <w:t xml:space="preserve">29</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30</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9, 31</w:t>
      </w:r>
      <w:r>
        <w:t xml:space="preserve"> </w:t>
      </w:r>
      <w:r>
        <w:t xml:space="preserve">That is, for the primary endpoint of interest (HR for OS and corresponding 95% confidence intervals), we will derive three qualitative agreement metrics: statistical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32</w:t>
      </w:r>
    </w:p>
    <w:bookmarkStart w:id="33" w:name="missing-data"/>
    <w:p>
      <w:pPr>
        <w:pStyle w:val="Heading3"/>
      </w:pPr>
      <w:r>
        <w:t xml:space="preserve">Missing data</w:t>
      </w:r>
    </w:p>
    <w:p>
      <w:pPr>
        <w:pStyle w:val="FirstParagraph"/>
      </w:pPr>
      <w:r>
        <w:t xml:space="preserve">To establish an analytic cohort, missingness will be assessed in a first iteration across patients who meet all eligibility criteria, including those with missing values.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33</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34, 35</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36</w:t>
      </w:r>
      <w:r>
        <w:t xml:space="preserve"> </w:t>
      </w:r>
      <w:r>
        <w:t xml:space="preserve">will additionally inform decisions regarding the inclusion or exclusion of patients with missing values in key eligibility criteria and potential sensitivity analyses to assess the robustness of these decisions.</w:t>
      </w:r>
      <w:r>
        <w:rPr>
          <w:vertAlign w:val="superscript"/>
        </w:rPr>
        <w:t xml:space="preserve">37</w:t>
      </w:r>
    </w:p>
    <w:p>
      <w:pPr>
        <w:pStyle w:val="BodyText"/>
      </w:pPr>
      <w:r>
        <w:t xml:space="preserve">While the MAR assumption is a strong assumption to hold across all considered covariates, it has been shown that especially in the context of partially observed covariate data (as opposed to missing exposure and outcome data), only mechanisms in which a covariate causes its own missingness lead to critical bias (MNAR).</w:t>
      </w:r>
      <w:r>
        <w:rPr>
          <w:vertAlign w:val="superscript"/>
        </w:rPr>
        <w:t xml:space="preserve">36</w:t>
      </w:r>
      <w:r>
        <w:t xml:space="preserve"> </w:t>
      </w:r>
      <w:r>
        <w:t xml:space="preserve">Hence, methodologies which retain patients and give the potential to adjust for a broader set of prognostic factors (e.g., multiple imputation</w:t>
      </w:r>
      <w:r>
        <w:rPr>
          <w:vertAlign w:val="superscript"/>
        </w:rPr>
        <w:t xml:space="preserve">38</w:t>
      </w:r>
      <w:r>
        <w:t xml:space="preserve"> </w:t>
      </w:r>
      <w:r>
        <w:t xml:space="preserve">or doubly robust methods</w:t>
      </w:r>
      <w:r>
        <w:rPr>
          <w:vertAlign w:val="superscript"/>
        </w:rPr>
        <w:t xml:space="preserve">39</w:t>
      </w:r>
      <w:r>
        <w:t xml:space="preserve">) may be preferred over complete case analyses.</w:t>
      </w:r>
    </w:p>
    <w:bookmarkEnd w:id="33"/>
    <w:bookmarkStart w:id="34" w:name="outcome-and-propensity-score-analyses"/>
    <w:p>
      <w:pPr>
        <w:pStyle w:val="Heading3"/>
      </w:pPr>
      <w:r>
        <w:t xml:space="preserve">Outcome and propensity score analyses</w:t>
      </w:r>
    </w:p>
    <w:p>
      <w:pPr>
        <w:pStyle w:val="FirstParagraph"/>
      </w:pPr>
      <w:r>
        <w:t xml:space="preserve">Due to its ubiquity in oncology trials, the primary parameter of interest in ENCORE will be defined as the marginal hazard ratio (HR) coefficient for the treatment comparison for OS.</w:t>
      </w:r>
      <w:r>
        <w:rPr>
          <w:vertAlign w:val="superscript"/>
        </w:rPr>
        <w:t xml:space="preserve">40</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reasonably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for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41</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a difference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cannot be made public but we provide a comprehensive and detailed documentation for each function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52–57</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9, 31</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which are more fit for use in oncology than claims due to availability of clinical data elements, and a maturing set of methodological approaches for causal inference using such data, the ENCORE project is one of the first of its kind to evaluate when and how RWD can be used to evaluate similar causal conclusions compared to RCTs in the field of oncology.</w:t>
      </w:r>
    </w:p>
    <w:p>
      <w:pPr>
        <w:pStyle w:val="BodyText"/>
      </w:pPr>
      <w:r>
        <w:t xml:space="preserve">The RCT DUPLICATE initiative</w:t>
      </w:r>
      <w:r>
        <w:rPr>
          <w:vertAlign w:val="superscript"/>
        </w:rPr>
        <w:t xml:space="preserve">9, 31</w:t>
      </w:r>
      <w:r>
        <w:t xml:space="preserve"> </w:t>
      </w:r>
      <w:r>
        <w:t xml:space="preserve">identified multiple emulation challenges that may be similar in ENCORE. One particular aspect that we may not always be able to emulate is the exact distribution of patient characteristics of the trial population, or that the comparability between these two populations may not be known. This can be due to the lack of RWD granularity and comprehensiveness to emulate relevant eligibility criteria or the fact that large pivotal trials in oncology are typically conducted in multiple countries worldwide (all considered databases reflect the US only). This may be a factor especially given that the pathophysiology, prognosis, and factors that drive heterogeneous treatment outcomes of certain cancers differ between countries. For example, some cancer indications (e.g., GI cancers) or some genetic mutations (e.g., EGFR mutations in lung adenocarcinoma) are much more prevalent in certain geographic regions compared to the US.</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therapy lines there may be estimand differences between trial and emulation.</w:t>
      </w:r>
      <w:r>
        <w:rPr>
          <w:vertAlign w:val="superscript"/>
        </w:rPr>
        <w:t xml:space="preserve">27</w:t>
      </w:r>
      <w:r>
        <w:t xml:space="preserve"> </w:t>
      </w:r>
      <w:r>
        <w:t xml:space="preserve">Although this is also a common challenge in the analysis of RCTs,</w:t>
      </w:r>
      <w:r>
        <w:rPr>
          <w:vertAlign w:val="superscript"/>
        </w:rPr>
        <w:t xml:space="preserve">26</w:t>
      </w:r>
      <w:r>
        <w:t xml:space="preserve"> </w:t>
      </w:r>
      <w:r>
        <w:t xml:space="preserve">treatment practice in routine clinical practice might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58</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RWE based on fit-for-purpose data and principled, well-designed and reproducible studies may complement evidence from RCTs. Through a systematic benchmarking approach, the ENCORE project will provide insights as to how measurement, design and analytic decisions influence bias and validity in oncological non-interventional studies.</w:t>
      </w:r>
    </w:p>
    <w:p>
      <w:r>
        <w:br w:type="page"/>
      </w:r>
    </w:p>
    <w:bookmarkEnd w:id="39"/>
    <w:bookmarkEnd w:id="40"/>
    <w:bookmarkStart w:id="119" w:name="references"/>
    <w:p>
      <w:pPr>
        <w:pStyle w:val="Heading1"/>
      </w:pPr>
      <w:r>
        <w:t xml:space="preserve">References</w:t>
      </w:r>
    </w:p>
    <w:bookmarkStart w:id="118" w:name="refs"/>
    <w:bookmarkStart w:id="42" w:name="ref-RWEFDA"/>
    <w:p>
      <w:pPr>
        <w:pStyle w:val="Bibliography"/>
      </w:pPr>
      <w:r>
        <w:rPr>
          <w:b/>
          <w:bCs/>
        </w:rPr>
        <w:t xml:space="preserve">1</w:t>
      </w:r>
      <w:r>
        <w:t xml:space="preserve">. Framework for FDA’s real-world evidence program (last accessed 11/28/2024) [Internet], 2018Available from:</w:t>
      </w:r>
      <w:r>
        <w:t xml:space="preserve"> </w:t>
      </w:r>
      <w:hyperlink r:id="rId41">
        <w:r>
          <w:rPr>
            <w:rStyle w:val="Hyperlink"/>
          </w:rPr>
          <w:t xml:space="preserve">https://www.fda.gov/media/120060/download?attachment</w:t>
        </w:r>
      </w:hyperlink>
    </w:p>
    <w:bookmarkEnd w:id="42"/>
    <w:bookmarkStart w:id="43"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3"/>
    <w:bookmarkStart w:id="44" w:name="ref-senior2024fresh"/>
    <w:p>
      <w:pPr>
        <w:pStyle w:val="Bibliography"/>
      </w:pPr>
      <w:r>
        <w:rPr>
          <w:b/>
          <w:bCs/>
        </w:rPr>
        <w:t xml:space="preserve">3</w:t>
      </w:r>
      <w:r>
        <w:t xml:space="preserve">. Senior M: Fresh from the biotech pipeline: Record-breaking FDA approvals. Nature Biotechnology, 2024</w:t>
      </w:r>
    </w:p>
    <w:bookmarkEnd w:id="44"/>
    <w:bookmarkStart w:id="46"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5">
        <w:r>
          <w:rPr>
            <w:rStyle w:val="Hyperlink"/>
          </w:rPr>
          <w:t xml:space="preserve">http://dx.doi.org/10.1016/j.annepidem.2022.07.007</w:t>
        </w:r>
      </w:hyperlink>
    </w:p>
    <w:bookmarkEnd w:id="46"/>
    <w:bookmarkStart w:id="47"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7"/>
    <w:bookmarkStart w:id="48"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8"/>
    <w:bookmarkStart w:id="49"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9"/>
    <w:bookmarkStart w:id="50"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50"/>
    <w:bookmarkStart w:id="52" w:name="ref-wang2023emulation"/>
    <w:p>
      <w:pPr>
        <w:pStyle w:val="Bibliography"/>
      </w:pPr>
      <w:r>
        <w:rPr>
          <w:b/>
          <w:bCs/>
        </w:rPr>
        <w:t xml:space="preserve">9</w:t>
      </w:r>
      <w:r>
        <w:t xml:space="preserve">. Wang SV, Schneeweiss S, Franklin JM, et al:</w:t>
      </w:r>
      <w:r>
        <w:t xml:space="preserve"> </w:t>
      </w:r>
      <w:hyperlink r:id="rId51">
        <w:r>
          <w:rPr>
            <w:rStyle w:val="Hyperlink"/>
          </w:rPr>
          <w:t xml:space="preserve">Emulation of randomized clinical trials with nonrandomized database analyses: Results of 32 clinical trials</w:t>
        </w:r>
      </w:hyperlink>
      <w:r>
        <w:t xml:space="preserve">. Jama 329:1376–1385, 2023</w:t>
      </w:r>
    </w:p>
    <w:bookmarkEnd w:id="52"/>
    <w:bookmarkStart w:id="54"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3">
        <w:r>
          <w:rPr>
            <w:rStyle w:val="Hyperlink"/>
          </w:rPr>
          <w:t xml:space="preserve">https://doi.org/10.1136/bmjmed-2023-000709</w:t>
        </w:r>
      </w:hyperlink>
    </w:p>
    <w:bookmarkEnd w:id="54"/>
    <w:bookmarkStart w:id="56"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5">
        <w:r>
          <w:rPr>
            <w:rStyle w:val="Hyperlink"/>
          </w:rPr>
          <w:t xml:space="preserve">https://www.fda.gov/about-fda/oncology-center-excellence/calibrating-real-world-evidence-studies-oncology-against-randomized-trials-encore</w:t>
        </w:r>
      </w:hyperlink>
    </w:p>
    <w:bookmarkEnd w:id="56"/>
    <w:bookmarkStart w:id="57"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7"/>
    <w:bookmarkStart w:id="58"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8"/>
    <w:bookmarkStart w:id="59"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9"/>
    <w:bookmarkStart w:id="60"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60"/>
    <w:bookmarkStart w:id="62"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1">
        <w:r>
          <w:rPr>
            <w:rStyle w:val="Hyperlink"/>
          </w:rPr>
          <w:t xml:space="preserve">https://doi.org/10.1158/1078-0432.CCR-22-0471</w:t>
        </w:r>
      </w:hyperlink>
    </w:p>
    <w:bookmarkEnd w:id="62"/>
    <w:bookmarkStart w:id="63"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3"/>
    <w:bookmarkStart w:id="65"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4">
        <w:r>
          <w:rPr>
            <w:rStyle w:val="Hyperlink"/>
          </w:rPr>
          <w:t xml:space="preserve">https://ascopubs.org/doi/abs/10.1200/JCO.2023.41.16_suppl.e21194</w:t>
        </w:r>
      </w:hyperlink>
    </w:p>
    <w:bookmarkEnd w:id="65"/>
    <w:bookmarkStart w:id="66"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6"/>
    <w:bookmarkStart w:id="67" w:name="ref-ackerman2024measurement"/>
    <w:p>
      <w:pPr>
        <w:pStyle w:val="Bibliography"/>
      </w:pPr>
      <w:r>
        <w:rPr>
          <w:b/>
          <w:bCs/>
        </w:rPr>
        <w:t xml:space="preserve">20</w:t>
      </w:r>
      <w:r>
        <w:t xml:space="preserve">. Ackerman B, Gan RW, Meyer CS, et al: Measurement error and bias in real-world oncology endpoints when constructing external control arms. Frontiers in Drug Safety and Regulation 4:1423493, 2024</w:t>
      </w:r>
    </w:p>
    <w:bookmarkEnd w:id="67"/>
    <w:bookmarkStart w:id="68" w:name="ref-nikolakopoulou2014interpret"/>
    <w:p>
      <w:pPr>
        <w:pStyle w:val="Bibliography"/>
      </w:pPr>
      <w:r>
        <w:rPr>
          <w:b/>
          <w:bCs/>
        </w:rPr>
        <w:t xml:space="preserve">21</w:t>
      </w:r>
      <w:r>
        <w:t xml:space="preserve">. Nikolakopoulou A, Mavridis D, Salanti G: How to interpret meta-analysis models: Fixed effect and random effects meta-analyses. BMJ Ment Health 17:64–64, 2014</w:t>
      </w:r>
    </w:p>
    <w:bookmarkEnd w:id="68"/>
    <w:bookmarkStart w:id="70" w:name="ref-wang2022harmonized"/>
    <w:p>
      <w:pPr>
        <w:pStyle w:val="Bibliography"/>
      </w:pPr>
      <w:r>
        <w:rPr>
          <w:b/>
          <w:bCs/>
        </w:rPr>
        <w:t xml:space="preserve">22</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9">
        <w:r>
          <w:rPr>
            <w:rStyle w:val="Hyperlink"/>
          </w:rPr>
          <w:t xml:space="preserve">https://doi.org/10.1016/j.jval.2022.09.001</w:t>
        </w:r>
      </w:hyperlink>
    </w:p>
    <w:bookmarkEnd w:id="70"/>
    <w:bookmarkStart w:id="71" w:name="ref-guidelinegeneral"/>
    <w:p>
      <w:pPr>
        <w:pStyle w:val="Bibliography"/>
      </w:pPr>
      <w:r>
        <w:rPr>
          <w:b/>
          <w:bCs/>
        </w:rPr>
        <w:t xml:space="preserve">23</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1"/>
    <w:bookmarkStart w:id="72" w:name="ref-hernan2022target"/>
    <w:p>
      <w:pPr>
        <w:pStyle w:val="Bibliography"/>
      </w:pPr>
      <w:r>
        <w:rPr>
          <w:b/>
          <w:bCs/>
        </w:rPr>
        <w:t xml:space="preserve">24</w:t>
      </w:r>
      <w:r>
        <w:t xml:space="preserve">. Hernán MA, Wang W, Leaf DE: Target trial emulation: A framework for causal inference from observational data. Jama 328:2446–2447, 2022</w:t>
      </w:r>
    </w:p>
    <w:bookmarkEnd w:id="72"/>
    <w:bookmarkStart w:id="74" w:name="ref-hernan2016specifying"/>
    <w:p>
      <w:pPr>
        <w:pStyle w:val="Bibliography"/>
      </w:pPr>
      <w:r>
        <w:rPr>
          <w:b/>
          <w:bCs/>
        </w:rPr>
        <w:t xml:space="preserve">25</w:t>
      </w:r>
      <w:r>
        <w:t xml:space="preserve">. Hernán MA, Sauer BC, Hernández-Dı́az S, et al:</w:t>
      </w:r>
      <w:r>
        <w:t xml:space="preserve"> </w:t>
      </w:r>
      <w:hyperlink r:id="rId73">
        <w:r>
          <w:rPr>
            <w:rStyle w:val="Hyperlink"/>
          </w:rPr>
          <w:t xml:space="preserve">Specifying a target trial prevents immortal time bias and other self-inflicted injuries in observational analyses</w:t>
        </w:r>
      </w:hyperlink>
      <w:r>
        <w:t xml:space="preserve">. Journal of clinical epidemiology 79:70–75, 2016</w:t>
      </w:r>
    </w:p>
    <w:bookmarkEnd w:id="74"/>
    <w:bookmarkStart w:id="76" w:name="ref-rufibach2018"/>
    <w:p>
      <w:pPr>
        <w:pStyle w:val="Bibliography"/>
      </w:pPr>
      <w:r>
        <w:rPr>
          <w:b/>
          <w:bCs/>
        </w:rPr>
        <w:t xml:space="preserve">26</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5">
        <w:r>
          <w:rPr>
            <w:rStyle w:val="Hyperlink"/>
          </w:rPr>
          <w:t xml:space="preserve">http://dx.doi.org/10.1002/pst.1917</w:t>
        </w:r>
      </w:hyperlink>
    </w:p>
    <w:bookmarkEnd w:id="76"/>
    <w:bookmarkStart w:id="77" w:name="ref-manitz2022estimands"/>
    <w:p>
      <w:pPr>
        <w:pStyle w:val="Bibliography"/>
      </w:pPr>
      <w:r>
        <w:rPr>
          <w:b/>
          <w:bCs/>
        </w:rPr>
        <w:t xml:space="preserve">27</w:t>
      </w:r>
      <w:r>
        <w:t xml:space="preserve">. Manitz J, Kan-Dobrosky N, Buchner H, et al: Estimands for overall survival in clinical trials with treatment switching in oncology. Pharmaceutical Statistics 21:150–162, 2022</w:t>
      </w:r>
    </w:p>
    <w:bookmarkEnd w:id="77"/>
    <w:bookmarkStart w:id="78" w:name="ref-meyer2020open"/>
    <w:p>
      <w:pPr>
        <w:pStyle w:val="Bibliography"/>
      </w:pPr>
      <w:r>
        <w:rPr>
          <w:b/>
          <w:bCs/>
        </w:rPr>
        <w:t xml:space="preserve">28</w:t>
      </w:r>
      <w:r>
        <w:t xml:space="preserve">. Meyer A-M, Davies J, Taylor M, et al: Open cohorts and ghost-time bias in real world data, in PHARMACOEPIDEMIOLOGY AND DRUG SAFETY. WILEY 111 RIVER ST, HOBOKEN 07030-5774, NJ USA, 2020, pp 426–426</w:t>
      </w:r>
    </w:p>
    <w:bookmarkEnd w:id="78"/>
    <w:bookmarkStart w:id="79" w:name="ref-hernan2022causal"/>
    <w:p>
      <w:pPr>
        <w:pStyle w:val="Bibliography"/>
      </w:pPr>
      <w:r>
        <w:rPr>
          <w:b/>
          <w:bCs/>
        </w:rPr>
        <w:t xml:space="preserve">29</w:t>
      </w:r>
      <w:r>
        <w:t xml:space="preserve">. Hernán MA: Causal analyses of existing databases: No power calculations required. Journal of clinical epidemiology 144:203–205, 2022</w:t>
      </w:r>
    </w:p>
    <w:bookmarkEnd w:id="79"/>
    <w:bookmarkStart w:id="80" w:name="ref-schoenfeld1981asymptotic"/>
    <w:p>
      <w:pPr>
        <w:pStyle w:val="Bibliography"/>
      </w:pPr>
      <w:r>
        <w:rPr>
          <w:b/>
          <w:bCs/>
        </w:rPr>
        <w:t xml:space="preserve">30</w:t>
      </w:r>
      <w:r>
        <w:t xml:space="preserve">. Schoenfeld D: The asymptotic properties of nonparametric tests for comparing survival distributions. Biometrika 68:316–319, 1981</w:t>
      </w:r>
    </w:p>
    <w:bookmarkEnd w:id="80"/>
    <w:bookmarkStart w:id="81" w:name="ref-franklin2020nonrandomized"/>
    <w:p>
      <w:pPr>
        <w:pStyle w:val="Bibliography"/>
      </w:pPr>
      <w:r>
        <w:rPr>
          <w:b/>
          <w:bCs/>
        </w:rPr>
        <w:t xml:space="preserve">31</w:t>
      </w:r>
      <w:r>
        <w:t xml:space="preserve">. Franklin JM, Pawar A, Martin D, et al: Nonrandomized real-world evidence to support regulatory decision making: Process for a randomized trial replication project. Clinical Pharmacology &amp; Therapeutics 107:817–826, 2020</w:t>
      </w:r>
    </w:p>
    <w:bookmarkEnd w:id="81"/>
    <w:bookmarkStart w:id="82" w:name="ref-schneeweiss2019graphical"/>
    <w:p>
      <w:pPr>
        <w:pStyle w:val="Bibliography"/>
      </w:pPr>
      <w:r>
        <w:rPr>
          <w:b/>
          <w:bCs/>
        </w:rPr>
        <w:t xml:space="preserve">32</w:t>
      </w:r>
      <w:r>
        <w:t xml:space="preserve">. Schneeweiss S, Rassen JA, Brown JS, et al: Graphical depiction of longitudinal study designs in health care databases. Annals of internal medicine 170:398–406, 2019</w:t>
      </w:r>
    </w:p>
    <w:bookmarkEnd w:id="82"/>
    <w:bookmarkStart w:id="83" w:name="ref-rubin1976inference"/>
    <w:p>
      <w:pPr>
        <w:pStyle w:val="Bibliography"/>
      </w:pPr>
      <w:r>
        <w:rPr>
          <w:b/>
          <w:bCs/>
        </w:rPr>
        <w:t xml:space="preserve">33</w:t>
      </w:r>
      <w:r>
        <w:t xml:space="preserve">. Rubin DB: Inference and missing data. Biometrika 63:581–592, 1976</w:t>
      </w:r>
    </w:p>
    <w:bookmarkEnd w:id="83"/>
    <w:bookmarkStart w:id="84" w:name="ref-weberpals2024smdi"/>
    <w:p>
      <w:pPr>
        <w:pStyle w:val="Bibliography"/>
      </w:pPr>
      <w:r>
        <w:rPr>
          <w:b/>
          <w:bCs/>
        </w:rPr>
        <w:t xml:space="preserve">34</w:t>
      </w:r>
      <w:r>
        <w:t xml:space="preserve">. Weberpals J, Raman SR, Shaw PA, et al: Smdi: An r package to perform structural missing data investigations on partially observed confounders in real-world evidence studies. JAMIA open 7:ooae008, 2024</w:t>
      </w:r>
    </w:p>
    <w:bookmarkEnd w:id="84"/>
    <w:bookmarkStart w:id="86" w:name="ref-weberpals2024"/>
    <w:p>
      <w:pPr>
        <w:pStyle w:val="Bibliography"/>
      </w:pPr>
      <w:r>
        <w:rPr>
          <w:b/>
          <w:bCs/>
        </w:rPr>
        <w:t xml:space="preserve">35</w:t>
      </w:r>
      <w:r>
        <w:t xml:space="preserve">. Weberpals J, Raman SR, Shaw PA, et al: A principled approach to characterize and analyze partially observed confounder data from electronic health records [Internet]. Clinical Epidemiology 16:329–343, 2024Available from:</w:t>
      </w:r>
      <w:hyperlink r:id="rId85">
        <w:r>
          <w:rPr>
            <w:rStyle w:val="Hyperlink"/>
          </w:rPr>
          <w:t xml:space="preserve">https://www.tandfonline.com/doi/abs/10.2147/CLEP.S436131</w:t>
        </w:r>
        <w:r>
          <w:rPr>
            <w:rStyle w:val="Hyperlink"/>
          </w:rPr>
          <w:t xml:space="preserve"> </w:t>
        </w:r>
      </w:hyperlink>
    </w:p>
    <w:bookmarkEnd w:id="86"/>
    <w:bookmarkStart w:id="87" w:name="ref-moreno2018canonical"/>
    <w:p>
      <w:pPr>
        <w:pStyle w:val="Bibliography"/>
      </w:pPr>
      <w:r>
        <w:rPr>
          <w:b/>
          <w:bCs/>
        </w:rPr>
        <w:t xml:space="preserve">36</w:t>
      </w:r>
      <w:r>
        <w:t xml:space="preserve">. Moreno-Betancur M, Lee KJ, Leacy FP, et al: Canonical causal diagrams to guide the treatment of missing data in epidemiologic studies. American journal of epidemiology 187:2705–2715, 2018</w:t>
      </w:r>
    </w:p>
    <w:bookmarkEnd w:id="87"/>
    <w:bookmarkStart w:id="88" w:name="ref-tompsett2018use"/>
    <w:p>
      <w:pPr>
        <w:pStyle w:val="Bibliography"/>
      </w:pPr>
      <w:r>
        <w:rPr>
          <w:b/>
          <w:bCs/>
        </w:rPr>
        <w:t xml:space="preserve">37</w:t>
      </w:r>
      <w:r>
        <w:t xml:space="preserve">. Tompsett DM, Leacy F, Moreno-Betancur M, et al: On the use of the not-at-random fully conditional specification (NARFCS) procedure in practice. Statistics in medicine 37:2338–2353, 2018</w:t>
      </w:r>
    </w:p>
    <w:bookmarkEnd w:id="88"/>
    <w:bookmarkStart w:id="90" w:name="ref-weberpals2024hdmi"/>
    <w:p>
      <w:pPr>
        <w:pStyle w:val="Bibliography"/>
      </w:pPr>
      <w:r>
        <w:rPr>
          <w:b/>
          <w:bCs/>
        </w:rPr>
        <w:t xml:space="preserve">38</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9">
        <w:r>
          <w:rPr>
            <w:rStyle w:val="Hyperlink"/>
          </w:rPr>
          <w:t xml:space="preserve">https://arxiv.org/abs/2405.10925</w:t>
        </w:r>
      </w:hyperlink>
    </w:p>
    <w:bookmarkEnd w:id="90"/>
    <w:bookmarkStart w:id="92" w:name="ref-Shaw2024"/>
    <w:p>
      <w:pPr>
        <w:pStyle w:val="Bibliography"/>
      </w:pPr>
      <w:r>
        <w:rPr>
          <w:b/>
          <w:bCs/>
        </w:rPr>
        <w:t xml:space="preserve">39</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91">
        <w:r>
          <w:rPr>
            <w:rStyle w:val="Hyperlink"/>
          </w:rPr>
          <w:t xml:space="preserve">https://github.com/PamelaShaw/Missing-Confounders-Methods</w:t>
        </w:r>
      </w:hyperlink>
    </w:p>
    <w:bookmarkEnd w:id="92"/>
    <w:bookmarkStart w:id="93" w:name="ref-cox1972regression"/>
    <w:p>
      <w:pPr>
        <w:pStyle w:val="Bibliography"/>
      </w:pPr>
      <w:r>
        <w:rPr>
          <w:b/>
          <w:bCs/>
        </w:rPr>
        <w:t xml:space="preserve">40</w:t>
      </w:r>
      <w:r>
        <w:t xml:space="preserve">. Cox DR: Regression models and life-tables. Journal of the royal statistical society. Series B (Methodological) 34:187–220, 1972</w:t>
      </w:r>
    </w:p>
    <w:bookmarkEnd w:id="93"/>
    <w:bookmarkStart w:id="94"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4"/>
    <w:bookmarkStart w:id="95"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5"/>
    <w:bookmarkStart w:id="96"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6"/>
    <w:bookmarkStart w:id="97"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7"/>
    <w:bookmarkStart w:id="98" w:name="ref-rubin2018multiple"/>
    <w:p>
      <w:pPr>
        <w:pStyle w:val="Bibliography"/>
      </w:pPr>
      <w:r>
        <w:rPr>
          <w:b/>
          <w:bCs/>
        </w:rPr>
        <w:t xml:space="preserve">45</w:t>
      </w:r>
      <w:r>
        <w:t xml:space="preserve">. Rubin DB: Multiple imputation, in Flexible imputation of missing data, second edition. Chapman; Hall/CRC, 2018, pp 29–62</w:t>
      </w:r>
    </w:p>
    <w:bookmarkEnd w:id="98"/>
    <w:bookmarkStart w:id="99"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99"/>
    <w:bookmarkStart w:id="100"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100"/>
    <w:bookmarkStart w:id="101"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101"/>
    <w:bookmarkStart w:id="102"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2"/>
    <w:bookmarkStart w:id="104"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3">
        <w:r>
          <w:rPr>
            <w:rStyle w:val="Hyperlink"/>
          </w:rPr>
          <w:t xml:space="preserve">http://dx.doi.org/10.1007/s10198-008-0129-y</w:t>
        </w:r>
      </w:hyperlink>
    </w:p>
    <w:bookmarkEnd w:id="104"/>
    <w:bookmarkStart w:id="105"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5"/>
    <w:bookmarkStart w:id="106" w:name="ref-anesrake"/>
    <w:p>
      <w:pPr>
        <w:pStyle w:val="Bibliography"/>
      </w:pPr>
      <w:r>
        <w:rPr>
          <w:b/>
          <w:bCs/>
        </w:rPr>
        <w:t xml:space="preserve">52</w:t>
      </w:r>
      <w:r>
        <w:t xml:space="preserve">. Pasek J: Anesrake: ANES raking implementation, 2018</w:t>
      </w:r>
    </w:p>
    <w:bookmarkEnd w:id="106"/>
    <w:bookmarkStart w:id="108" w:name="ref-MatchThem"/>
    <w:p>
      <w:pPr>
        <w:pStyle w:val="Bibliography"/>
      </w:pPr>
      <w:r>
        <w:rPr>
          <w:b/>
          <w:bCs/>
        </w:rPr>
        <w:t xml:space="preserve">53</w:t>
      </w:r>
      <w:r>
        <w:t xml:space="preserve">. Pishgar F, Greifer N, Leyrat C, et al: MatchThem:: Matching and weighting after multiple imputation [Internet], 2021Available from:</w:t>
      </w:r>
      <w:r>
        <w:t xml:space="preserve"> </w:t>
      </w:r>
      <w:hyperlink r:id="rId107">
        <w:r>
          <w:rPr>
            <w:rStyle w:val="Hyperlink"/>
          </w:rPr>
          <w:t xml:space="preserve">https://journal.r-project.org/archive/2021/RJ-2021-073/</w:t>
        </w:r>
      </w:hyperlink>
    </w:p>
    <w:bookmarkEnd w:id="108"/>
    <w:bookmarkStart w:id="110" w:name="ref-survival"/>
    <w:p>
      <w:pPr>
        <w:pStyle w:val="Bibliography"/>
      </w:pPr>
      <w:r>
        <w:rPr>
          <w:b/>
          <w:bCs/>
        </w:rPr>
        <w:t xml:space="preserve">54</w:t>
      </w:r>
      <w:r>
        <w:t xml:space="preserve">. Therneau TM: A package for survival analysis in r [Internet], 2024Available from:</w:t>
      </w:r>
      <w:r>
        <w:t xml:space="preserve"> </w:t>
      </w:r>
      <w:hyperlink r:id="rId109">
        <w:r>
          <w:rPr>
            <w:rStyle w:val="Hyperlink"/>
          </w:rPr>
          <w:t xml:space="preserve">https://CRAN.R-project.org/package=survival</w:t>
        </w:r>
      </w:hyperlink>
    </w:p>
    <w:bookmarkEnd w:id="110"/>
    <w:bookmarkStart w:id="112" w:name="ref-encore.analytics"/>
    <w:p>
      <w:pPr>
        <w:pStyle w:val="Bibliography"/>
      </w:pPr>
      <w:r>
        <w:rPr>
          <w:b/>
          <w:bCs/>
        </w:rPr>
        <w:t xml:space="preserve">55</w:t>
      </w:r>
      <w:r>
        <w:t xml:space="preserve">. Weberpals J: Encore.analytics: Functions and wrappers to streamline complex analytic workflows in real-world data studies based on the ENCORE trial emulation project [Internet], 2025Available from:</w:t>
      </w:r>
      <w:r>
        <w:t xml:space="preserve"> </w:t>
      </w:r>
      <w:hyperlink r:id="rId111">
        <w:r>
          <w:rPr>
            <w:rStyle w:val="Hyperlink"/>
          </w:rPr>
          <w:t xml:space="preserve">https://github.com/janickweberpals/encore.analytics</w:t>
        </w:r>
      </w:hyperlink>
    </w:p>
    <w:bookmarkEnd w:id="112"/>
    <w:bookmarkStart w:id="114" w:name="ref-gtsummary"/>
    <w:p>
      <w:pPr>
        <w:pStyle w:val="Bibliography"/>
      </w:pPr>
      <w:r>
        <w:rPr>
          <w:b/>
          <w:bCs/>
        </w:rPr>
        <w:t xml:space="preserve">56</w:t>
      </w:r>
      <w:r>
        <w:t xml:space="preserve">. Sjoberg DD, Whiting K, Curry M, et al: Reproducible summary tables with the gtsummary package [Internet]13:570–580, 2021Available from:</w:t>
      </w:r>
      <w:r>
        <w:t xml:space="preserve"> </w:t>
      </w:r>
      <w:hyperlink r:id="rId113">
        <w:r>
          <w:rPr>
            <w:rStyle w:val="Hyperlink"/>
          </w:rPr>
          <w:t xml:space="preserve">https://doi.org/10.32614/RJ-2021-053</w:t>
        </w:r>
      </w:hyperlink>
    </w:p>
    <w:bookmarkEnd w:id="114"/>
    <w:bookmarkStart w:id="116" w:name="ref-ggsurvfit"/>
    <w:p>
      <w:pPr>
        <w:pStyle w:val="Bibliography"/>
      </w:pPr>
      <w:r>
        <w:rPr>
          <w:b/>
          <w:bCs/>
        </w:rPr>
        <w:t xml:space="preserve">57</w:t>
      </w:r>
      <w:r>
        <w:t xml:space="preserve">. Sjoberg DD, Baillie M, Fruechtenicht C, et al: Ggsurvfit: Flexible time-to-event figures [Internet], 2024Available from:</w:t>
      </w:r>
      <w:r>
        <w:t xml:space="preserve"> </w:t>
      </w:r>
      <w:hyperlink r:id="rId115">
        <w:r>
          <w:rPr>
            <w:rStyle w:val="Hyperlink"/>
          </w:rPr>
          <w:t xml:space="preserve">https://github.com/pharmaverse/ggsurvfit</w:t>
        </w:r>
      </w:hyperlink>
    </w:p>
    <w:bookmarkEnd w:id="116"/>
    <w:bookmarkStart w:id="117" w:name="ref-gaber2024mystifying"/>
    <w:p>
      <w:pPr>
        <w:pStyle w:val="Bibliography"/>
      </w:pPr>
      <w:r>
        <w:rPr>
          <w:b/>
          <w:bCs/>
        </w:rPr>
        <w:t xml:space="preserve">58</w:t>
      </w:r>
      <w:r>
        <w:t xml:space="preserve">. Gaber CE, Ghazarian AA, Strassle PD, et al: De-mystifying the clone-censor-weight method for causal research using observational data: A primer for cancer researchers. Cancer Medicine 13:e70461, 2024</w:t>
      </w:r>
    </w:p>
    <w:bookmarkEnd w:id="117"/>
    <w:bookmarkEnd w:id="118"/>
    <w:p>
      <w:r>
        <w:br w:type="page"/>
      </w:r>
    </w:p>
    <w:bookmarkEnd w:id="119"/>
    <w:bookmarkStart w:id="132"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3"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21" name="Picture"/>
                  <a:graphic>
                    <a:graphicData uri="http://schemas.openxmlformats.org/drawingml/2006/picture">
                      <pic:pic>
                        <pic:nvPicPr>
                          <pic:cNvPr descr="../tables/Table_1_trial_eligibility.png" id="122" name="Picture"/>
                          <pic:cNvPicPr>
                            <a:picLocks noChangeArrowheads="1" noChangeAspect="1"/>
                          </pic:cNvPicPr>
                        </pic:nvPicPr>
                        <pic:blipFill>
                          <a:blip r:embed="rId120"/>
                          <a:stretch>
                            <a:fillRect/>
                          </a:stretch>
                        </pic:blipFill>
                        <pic:spPr bwMode="auto">
                          <a:xfrm>
                            <a:off x="0" y="0"/>
                            <a:ext cx="5943600" cy="5414333"/>
                          </a:xfrm>
                          <a:prstGeom prst="rect">
                            <a:avLst/>
                          </a:prstGeom>
                          <a:noFill/>
                          <a:ln w="9525">
                            <a:noFill/>
                            <a:headEnd/>
                            <a:tailEnd/>
                          </a:ln>
                        </pic:spPr>
                      </pic:pic>
                    </a:graphicData>
                  </a:graphic>
                </wp:inline>
              </w:drawing>
            </w:r>
          </w:p>
          <w:bookmarkEnd w:id="123"/>
        </w:tc>
      </w:tr>
    </w:tbl>
    <w:p>
      <w:r>
        <w:br w:type="page"/>
      </w:r>
    </w:p>
    <w:tbl>
      <w:tblPr>
        <w:tblStyle w:val="Table"/>
        <w:tblW w:type="pct" w:w="5000"/>
        <w:tblLayout w:type="fixed"/>
        <w:tblLook w:firstRow="0" w:lastRow="0" w:firstColumn="0" w:lastColumn="0" w:noHBand="0" w:noVBand="0" w:val="0000"/>
      </w:tblPr>
      <w:tblGrid>
        <w:gridCol w:w="7920"/>
      </w:tblGrid>
      <w:tr>
        <w:tc>
          <w:tcPr/>
          <w:bookmarkStart w:id="127"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5" name="Picture"/>
                  <a:graphic>
                    <a:graphicData uri="http://schemas.openxmlformats.org/drawingml/2006/picture">
                      <pic:pic>
                        <pic:nvPicPr>
                          <pic:cNvPr descr="../tables/Table_2_trial_selection.png" id="126" name="Picture"/>
                          <pic:cNvPicPr>
                            <a:picLocks noChangeArrowheads="1" noChangeAspect="1"/>
                          </pic:cNvPicPr>
                        </pic:nvPicPr>
                        <pic:blipFill>
                          <a:blip r:embed="rId124"/>
                          <a:stretch>
                            <a:fillRect/>
                          </a:stretch>
                        </pic:blipFill>
                        <pic:spPr bwMode="auto">
                          <a:xfrm>
                            <a:off x="0" y="0"/>
                            <a:ext cx="5943600" cy="6065270"/>
                          </a:xfrm>
                          <a:prstGeom prst="rect">
                            <a:avLst/>
                          </a:prstGeom>
                          <a:noFill/>
                          <a:ln w="9525">
                            <a:noFill/>
                            <a:headEnd/>
                            <a:tailEnd/>
                          </a:ln>
                        </pic:spPr>
                      </pic:pic>
                    </a:graphicData>
                  </a:graphic>
                </wp:inline>
              </w:drawing>
            </w:r>
          </w:p>
          <w:bookmarkEnd w:id="127"/>
        </w:tc>
      </w:tr>
    </w:tbl>
    <w:p>
      <w:r>
        <w:br w:type="page"/>
      </w:r>
    </w:p>
    <w:tbl>
      <w:tblPr>
        <w:tblStyle w:val="Table"/>
        <w:tblW w:type="pct" w:w="5000"/>
        <w:tblLayout w:type="fixed"/>
        <w:tblLook w:firstRow="0" w:lastRow="0" w:firstColumn="0" w:lastColumn="0" w:noHBand="0" w:noVBand="0" w:val="0000"/>
      </w:tblPr>
      <w:tblGrid>
        <w:gridCol w:w="7920"/>
      </w:tblGrid>
      <w:tr>
        <w:tc>
          <w:tcPr/>
          <w:bookmarkStart w:id="131"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29" name="Picture"/>
                  <a:graphic>
                    <a:graphicData uri="http://schemas.openxmlformats.org/drawingml/2006/picture">
                      <pic:pic>
                        <pic:nvPicPr>
                          <pic:cNvPr descr="../tables/Table_3_agreement_metrics.png" id="130" name="Picture"/>
                          <pic:cNvPicPr>
                            <a:picLocks noChangeArrowheads="1" noChangeAspect="1"/>
                          </pic:cNvPicPr>
                        </pic:nvPicPr>
                        <pic:blipFill>
                          <a:blip r:embed="rId128"/>
                          <a:stretch>
                            <a:fillRect/>
                          </a:stretch>
                        </pic:blipFill>
                        <pic:spPr bwMode="auto">
                          <a:xfrm>
                            <a:off x="0" y="0"/>
                            <a:ext cx="5943600" cy="1659654"/>
                          </a:xfrm>
                          <a:prstGeom prst="rect">
                            <a:avLst/>
                          </a:prstGeom>
                          <a:noFill/>
                          <a:ln w="9525">
                            <a:noFill/>
                            <a:headEnd/>
                            <a:tailEnd/>
                          </a:ln>
                        </pic:spPr>
                      </pic:pic>
                    </a:graphicData>
                  </a:graphic>
                </wp:inline>
              </w:drawing>
            </w:r>
          </w:p>
          <w:bookmarkEnd w:id="131"/>
        </w:tc>
      </w:tr>
    </w:tbl>
    <w:p>
      <w:r>
        <w:br w:type="page"/>
      </w:r>
    </w:p>
    <w:bookmarkEnd w:id="132"/>
    <w:bookmarkStart w:id="148"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6"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4" name="Picture"/>
                  <a:graphic>
                    <a:graphicData uri="http://schemas.openxmlformats.org/drawingml/2006/picture">
                      <pic:pic>
                        <pic:nvPicPr>
                          <pic:cNvPr descr="../figures/process.png" id="135" name="Picture"/>
                          <pic:cNvPicPr>
                            <a:picLocks noChangeArrowheads="1" noChangeAspect="1"/>
                          </pic:cNvPicPr>
                        </pic:nvPicPr>
                        <pic:blipFill>
                          <a:blip r:embed="rId133"/>
                          <a:stretch>
                            <a:fillRect/>
                          </a:stretch>
                        </pic:blipFill>
                        <pic:spPr bwMode="auto">
                          <a:xfrm>
                            <a:off x="0" y="0"/>
                            <a:ext cx="5943600" cy="3343275"/>
                          </a:xfrm>
                          <a:prstGeom prst="rect">
                            <a:avLst/>
                          </a:prstGeom>
                          <a:noFill/>
                          <a:ln w="9525">
                            <a:noFill/>
                            <a:headEnd/>
                            <a:tailEnd/>
                          </a:ln>
                        </pic:spPr>
                      </pic:pic>
                    </a:graphicData>
                  </a:graphic>
                </wp:inline>
              </w:drawing>
            </w:r>
          </w:p>
          <w:bookmarkEnd w:id="136"/>
        </w:tc>
      </w:tr>
    </w:tbl>
    <w:p>
      <w:pPr>
        <w:pStyle w:val="BodyText"/>
      </w:pPr>
      <w:hyperlink r:id="rId137">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1"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9" name="Picture"/>
                  <a:graphic>
                    <a:graphicData uri="http://schemas.openxmlformats.org/drawingml/2006/picture">
                      <pic:pic>
                        <pic:nvPicPr>
                          <pic:cNvPr descr="Figure_2_utlization.png" id="140" name="Picture"/>
                          <pic:cNvPicPr>
                            <a:picLocks noChangeArrowheads="1" noChangeAspect="1"/>
                          </pic:cNvPicPr>
                        </pic:nvPicPr>
                        <pic:blipFill>
                          <a:blip r:embed="rId138"/>
                          <a:stretch>
                            <a:fillRect/>
                          </a:stretch>
                        </pic:blipFill>
                        <pic:spPr bwMode="auto">
                          <a:xfrm>
                            <a:off x="0" y="0"/>
                            <a:ext cx="4577722" cy="4576577"/>
                          </a:xfrm>
                          <a:prstGeom prst="rect">
                            <a:avLst/>
                          </a:prstGeom>
                          <a:noFill/>
                          <a:ln w="9525">
                            <a:noFill/>
                            <a:headEnd/>
                            <a:tailEnd/>
                          </a:ln>
                        </pic:spPr>
                      </pic:pic>
                    </a:graphicData>
                  </a:graphic>
                </wp:inline>
              </w:drawing>
            </w:r>
          </w:p>
          <w:bookmarkEnd w:id="141"/>
        </w:tc>
      </w:tr>
    </w:tbl>
    <w:p>
      <w:pPr>
        <w:pStyle w:val="BodyText"/>
      </w:pPr>
      <w:hyperlink r:id="rId142">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6"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4" name="Picture"/>
                  <a:graphic>
                    <a:graphicData uri="http://schemas.openxmlformats.org/drawingml/2006/picture">
                      <pic:pic>
                        <pic:nvPicPr>
                          <pic:cNvPr descr="Figure_3_balance.png" id="145" name="Picture"/>
                          <pic:cNvPicPr>
                            <a:picLocks noChangeArrowheads="1" noChangeAspect="1"/>
                          </pic:cNvPicPr>
                        </pic:nvPicPr>
                        <pic:blipFill>
                          <a:blip r:embed="rId143"/>
                          <a:stretch>
                            <a:fillRect/>
                          </a:stretch>
                        </pic:blipFill>
                        <pic:spPr bwMode="auto">
                          <a:xfrm>
                            <a:off x="0" y="0"/>
                            <a:ext cx="5943600" cy="3169919"/>
                          </a:xfrm>
                          <a:prstGeom prst="rect">
                            <a:avLst/>
                          </a:prstGeom>
                          <a:noFill/>
                          <a:ln w="9525">
                            <a:noFill/>
                            <a:headEnd/>
                            <a:tailEnd/>
                          </a:ln>
                        </pic:spPr>
                      </pic:pic>
                    </a:graphicData>
                  </a:graphic>
                </wp:inline>
              </w:drawing>
            </w:r>
          </w:p>
          <w:bookmarkEnd w:id="146"/>
        </w:tc>
      </w:tr>
    </w:tbl>
    <w:p>
      <w:pPr>
        <w:pStyle w:val="BodyText"/>
      </w:pPr>
      <w:hyperlink r:id="rId147">
        <w:r>
          <w:rPr>
            <w:rStyle w:val="Hyperlink"/>
          </w:rPr>
          <w:t xml:space="preserve">View figure in higher resolution here</w:t>
        </w:r>
      </w:hyperlink>
    </w:p>
    <w:bookmarkEnd w:id="148"/>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3" Target="media/rId133.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hyperlink" Id="rId85"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3" Target="http://dx.doi.org/10.1007/s10198-008-0129-y" TargetMode="External" /><Relationship Type="http://schemas.openxmlformats.org/officeDocument/2006/relationships/hyperlink" Id="rId45" Target="http://dx.doi.org/10.1016/j.annepidem.2022.07.007" TargetMode="External" /><Relationship Type="http://schemas.openxmlformats.org/officeDocument/2006/relationships/hyperlink" Id="rId109"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64" Target="https://ascopubs.org/doi/abs/10.1200/JCO.2023.41.16_suppl.e21194" TargetMode="External" /><Relationship Type="http://schemas.openxmlformats.org/officeDocument/2006/relationships/hyperlink" Id="rId51" Target="https://doi.org/10.1001/jama.2023.4221" TargetMode="External" /><Relationship Type="http://schemas.openxmlformats.org/officeDocument/2006/relationships/hyperlink" Id="rId73" Target="https://doi.org/10.1016/j.jclinepi.2016.04.014" TargetMode="External" /><Relationship Type="http://schemas.openxmlformats.org/officeDocument/2006/relationships/hyperlink" Id="rId69" Target="https://doi.org/10.1016/j.jval.2022.09.001" TargetMode="External" /><Relationship Type="http://schemas.openxmlformats.org/officeDocument/2006/relationships/hyperlink" Id="rId53" Target="https://doi.org/10.1136/bmjmed-2023-000709" TargetMode="External" /><Relationship Type="http://schemas.openxmlformats.org/officeDocument/2006/relationships/hyperlink" Id="rId61" Target="https://doi.org/10.1158/1078-0432.CCR-22-0471" TargetMode="External" /><Relationship Type="http://schemas.openxmlformats.org/officeDocument/2006/relationships/hyperlink" Id="rId113" Target="https://doi.org/10.32614/RJ-2021-05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7" Target="https://github.com/janickweberpals/encore-process-manuscript/blob/main/manuscript/Figure_1_process.png" TargetMode="External" /><Relationship Type="http://schemas.openxmlformats.org/officeDocument/2006/relationships/hyperlink" Id="rId142" Target="https://github.com/janickweberpals/encore-process-manuscript/blob/main/manuscript/Figure_2_utlization.png" TargetMode="External" /><Relationship Type="http://schemas.openxmlformats.org/officeDocument/2006/relationships/hyperlink" Id="rId147" Target="https://github.com/janickweberpals/encore-process-manuscript/blob/main/manuscript/Figure_3_balance.png" TargetMode="External" /><Relationship Type="http://schemas.openxmlformats.org/officeDocument/2006/relationships/hyperlink" Id="rId111"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5"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107" Target="https://journal.r-project.org/archive/2021/RJ-2021-073/" TargetMode="External" /><Relationship Type="http://schemas.openxmlformats.org/officeDocument/2006/relationships/hyperlink" Id="rId55"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5"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3" Target="http://dx.doi.org/10.1007/s10198-008-0129-y" TargetMode="External" /><Relationship Type="http://schemas.openxmlformats.org/officeDocument/2006/relationships/hyperlink" Id="rId45" Target="http://dx.doi.org/10.1016/j.annepidem.2022.07.007" TargetMode="External" /><Relationship Type="http://schemas.openxmlformats.org/officeDocument/2006/relationships/hyperlink" Id="rId109"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64" Target="https://ascopubs.org/doi/abs/10.1200/JCO.2023.41.16_suppl.e21194" TargetMode="External" /><Relationship Type="http://schemas.openxmlformats.org/officeDocument/2006/relationships/hyperlink" Id="rId51" Target="https://doi.org/10.1001/jama.2023.4221" TargetMode="External" /><Relationship Type="http://schemas.openxmlformats.org/officeDocument/2006/relationships/hyperlink" Id="rId73" Target="https://doi.org/10.1016/j.jclinepi.2016.04.014" TargetMode="External" /><Relationship Type="http://schemas.openxmlformats.org/officeDocument/2006/relationships/hyperlink" Id="rId69" Target="https://doi.org/10.1016/j.jval.2022.09.001" TargetMode="External" /><Relationship Type="http://schemas.openxmlformats.org/officeDocument/2006/relationships/hyperlink" Id="rId53" Target="https://doi.org/10.1136/bmjmed-2023-000709" TargetMode="External" /><Relationship Type="http://schemas.openxmlformats.org/officeDocument/2006/relationships/hyperlink" Id="rId61" Target="https://doi.org/10.1158/1078-0432.CCR-22-0471" TargetMode="External" /><Relationship Type="http://schemas.openxmlformats.org/officeDocument/2006/relationships/hyperlink" Id="rId113" Target="https://doi.org/10.32614/RJ-2021-05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7" Target="https://github.com/janickweberpals/encore-process-manuscript/blob/main/manuscript/Figure_1_process.png" TargetMode="External" /><Relationship Type="http://schemas.openxmlformats.org/officeDocument/2006/relationships/hyperlink" Id="rId142" Target="https://github.com/janickweberpals/encore-process-manuscript/blob/main/manuscript/Figure_2_utlization.png" TargetMode="External" /><Relationship Type="http://schemas.openxmlformats.org/officeDocument/2006/relationships/hyperlink" Id="rId147" Target="https://github.com/janickweberpals/encore-process-manuscript/blob/main/manuscript/Figure_3_balance.png" TargetMode="External" /><Relationship Type="http://schemas.openxmlformats.org/officeDocument/2006/relationships/hyperlink" Id="rId111"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5"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107" Target="https://journal.r-project.org/archive/2021/RJ-2021-073/" TargetMode="External" /><Relationship Type="http://schemas.openxmlformats.org/officeDocument/2006/relationships/hyperlink" Id="rId55"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Emulating Comparative Oncology Trials with Real-world Evidence Studies (ENCORE): Process Development and Methodological Considerations for Oncology Real-World Data</dc:title>
  <dc:creator/>
  <cp:keywords/>
  <dcterms:created xsi:type="dcterms:W3CDTF">2025-05-28T17:11:19Z</dcterms:created>
  <dcterms:modified xsi:type="dcterms:W3CDTF">2025-05-28T17:11:19Z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